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5DB91" w14:textId="209237B7" w:rsidR="00DE4DE6" w:rsidRPr="006D0538" w:rsidRDefault="00D355D2" w:rsidP="00DE4DE6">
      <w:pPr>
        <w:rPr>
          <w:lang w:val="es-ES"/>
        </w:rPr>
      </w:pPr>
      <w:r w:rsidRPr="006D0538">
        <w:rPr>
          <w:rStyle w:val="bumpedfont15"/>
          <w:rFonts w:ascii="Arial" w:hAnsi="Arial" w:cs="Arial"/>
          <w:b/>
          <w:bCs/>
          <w:sz w:val="27"/>
          <w:szCs w:val="27"/>
          <w:lang w:val="es-ES"/>
        </w:rPr>
        <w:t xml:space="preserve">Implementación del </w:t>
      </w:r>
      <w:r w:rsidR="00B46B25">
        <w:rPr>
          <w:rStyle w:val="bumpedfont15"/>
          <w:rFonts w:ascii="Arial" w:hAnsi="Arial" w:cs="Arial"/>
          <w:b/>
          <w:bCs/>
          <w:sz w:val="27"/>
          <w:szCs w:val="27"/>
          <w:lang w:val="es-ES"/>
        </w:rPr>
        <w:t>t</w:t>
      </w:r>
      <w:r w:rsidRPr="006D0538">
        <w:rPr>
          <w:rStyle w:val="bumpedfont15"/>
          <w:rFonts w:ascii="Arial" w:hAnsi="Arial" w:cs="Arial"/>
          <w:b/>
          <w:bCs/>
          <w:sz w:val="27"/>
          <w:szCs w:val="27"/>
          <w:lang w:val="es-ES"/>
        </w:rPr>
        <w:t>ratado entre México, Estados Unidos y Canadá renueva la cooperación económica en Norteamérica</w:t>
      </w:r>
    </w:p>
    <w:p w14:paraId="0235332E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4DF91598" w14:textId="00D6CF23" w:rsidR="00DE4DE6" w:rsidRPr="006D0538" w:rsidRDefault="00D355D2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Esta semana, el presidente de Estados Unidos,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Donald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Trump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, y el presidente de México, </w:t>
      </w:r>
      <w:r w:rsidR="00DE4DE6" w:rsidRPr="006D0538">
        <w:rPr>
          <w:rStyle w:val="bumpedfont15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>Andrés Manuel López Obrador</w:t>
      </w:r>
      <w:r w:rsidRPr="006D0538">
        <w:rPr>
          <w:rStyle w:val="bumpedfont15"/>
          <w:rFonts w:ascii="Arial" w:hAnsi="Arial" w:cs="Arial"/>
          <w:color w:val="000000"/>
          <w:sz w:val="27"/>
          <w:szCs w:val="27"/>
          <w:shd w:val="clear" w:color="auto" w:fill="FFFFFF"/>
          <w:lang w:val="es-ES"/>
        </w:rPr>
        <w:t xml:space="preserve">, se reunieron en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Washington D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 xml:space="preserve">.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C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>.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, para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celebra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r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la implementación del Tratado entre México, Estados Unidos y Canadá (T-MEC) y el comienzo de una nueva era de cooperación económica entre los países signatarios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 </w:t>
      </w:r>
    </w:p>
    <w:p w14:paraId="67BE56AA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0C0F9E90" w14:textId="427DD476" w:rsidR="00DE4DE6" w:rsidRPr="006D0538" w:rsidRDefault="00D355D2" w:rsidP="00DE4DE6">
      <w:pPr>
        <w:pStyle w:val="s3"/>
        <w:spacing w:before="0" w:beforeAutospacing="0" w:after="270" w:afterAutospacing="0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Sempra Energy,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creemos que el T-MEC sienta las bases para una </w:t>
      </w:r>
      <w:r w:rsidR="00D7212B">
        <w:rPr>
          <w:rStyle w:val="bumpedfont15"/>
          <w:rFonts w:ascii="Arial" w:hAnsi="Arial" w:cs="Arial"/>
          <w:sz w:val="27"/>
          <w:szCs w:val="27"/>
          <w:lang w:val="es-ES"/>
        </w:rPr>
        <w:t>interesante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nueva fase de cooperación económica aquí en Norteamérica y la </w:t>
      </w:r>
      <w:r w:rsidR="000B458B" w:rsidRPr="006D0538">
        <w:rPr>
          <w:rStyle w:val="bumpedfont15"/>
          <w:rFonts w:ascii="Arial" w:hAnsi="Arial" w:cs="Arial"/>
          <w:sz w:val="27"/>
          <w:szCs w:val="27"/>
          <w:lang w:val="es-ES"/>
        </w:rPr>
        <w:t>mayor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integración de las economías </w:t>
      </w:r>
      <w:r w:rsidR="000B458B" w:rsidRPr="006D0538">
        <w:rPr>
          <w:rStyle w:val="bumpedfont15"/>
          <w:rFonts w:ascii="Arial" w:hAnsi="Arial" w:cs="Arial"/>
          <w:sz w:val="27"/>
          <w:szCs w:val="27"/>
          <w:lang w:val="es-ES"/>
        </w:rPr>
        <w:t>estadounidense y mexicana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 </w:t>
      </w:r>
    </w:p>
    <w:p w14:paraId="4E42B5E1" w14:textId="088A3A57" w:rsidR="00DE4DE6" w:rsidRPr="006D0538" w:rsidRDefault="000B458B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El proyecto </w:t>
      </w:r>
      <w:r w:rsidR="00E1502E">
        <w:rPr>
          <w:rStyle w:val="bumpedfont15"/>
          <w:rFonts w:ascii="Arial" w:hAnsi="Arial" w:cs="Arial"/>
          <w:sz w:val="27"/>
          <w:szCs w:val="27"/>
          <w:lang w:val="es-ES"/>
        </w:rPr>
        <w:t xml:space="preserve">de exportación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propuesto</w:t>
      </w:r>
      <w:r w:rsidR="00E1502E">
        <w:rPr>
          <w:rStyle w:val="bumpedfont15"/>
          <w:rFonts w:ascii="Arial" w:hAnsi="Arial" w:cs="Arial"/>
          <w:sz w:val="27"/>
          <w:szCs w:val="27"/>
          <w:lang w:val="es-ES"/>
        </w:rPr>
        <w:t xml:space="preserve">,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Energía Costa Azul (ECA)</w:t>
      </w:r>
      <w:r w:rsidR="00E1502E">
        <w:rPr>
          <w:rStyle w:val="bumpedfont15"/>
          <w:rFonts w:ascii="Arial" w:hAnsi="Arial" w:cs="Arial"/>
          <w:sz w:val="27"/>
          <w:szCs w:val="27"/>
          <w:lang w:val="es-ES"/>
        </w:rPr>
        <w:t>,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de Sempra LNG y IEnova en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Baja California, M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éxico, tiene el potencial de ser el primer proyecto histórico en el marco de este nuevo tratado comercial, una vez que la Secretaría de Energía de México e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>xpid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a el permiso de exportación con vigencia de 20 años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</w:t>
      </w:r>
    </w:p>
    <w:p w14:paraId="70486216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23E7CEAB" w14:textId="21299B25" w:rsidR="00DE4DE6" w:rsidRPr="006D0538" w:rsidRDefault="000B458B" w:rsidP="00DE4DE6">
      <w:pPr>
        <w:pStyle w:val="s6"/>
        <w:spacing w:before="0" w:beforeAutospacing="0" w:after="0" w:afterAutospacing="0" w:line="324" w:lineRule="atLeast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Además,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ECA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sería la primera terminal de exportación de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gas natural licuado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en conectar l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a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s abundantes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reservas de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gas natural de los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estados del oeste de Estados Unidos, entre los que se incluyen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Texas, Wyoming, Utah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y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N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uevo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M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é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xico,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con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Baja California.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El proyecto en su totalidad crearía cerca de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30,000 </w:t>
      </w:r>
      <w:r w:rsidR="00F010F8" w:rsidRPr="006D0538">
        <w:rPr>
          <w:rStyle w:val="bumpedfont15"/>
          <w:rFonts w:ascii="Arial" w:hAnsi="Arial" w:cs="Arial"/>
          <w:sz w:val="27"/>
          <w:szCs w:val="27"/>
          <w:lang w:val="es-ES"/>
        </w:rPr>
        <w:t>empleos y expandiría el fomento y la prosperidad económicos tanto para Estados Unidos como para México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</w:t>
      </w:r>
    </w:p>
    <w:p w14:paraId="0EF04686" w14:textId="77777777" w:rsidR="00DE4DE6" w:rsidRPr="006D0538" w:rsidRDefault="00DE4DE6" w:rsidP="00DE4DE6">
      <w:pPr>
        <w:pStyle w:val="s6"/>
        <w:spacing w:before="0" w:beforeAutospacing="0" w:after="0" w:afterAutospacing="0" w:line="324" w:lineRule="atLeast"/>
        <w:rPr>
          <w:sz w:val="27"/>
          <w:szCs w:val="27"/>
          <w:lang w:val="es-ES"/>
        </w:rPr>
      </w:pPr>
    </w:p>
    <w:p w14:paraId="32CE3256" w14:textId="5367FD94" w:rsidR="00DE4DE6" w:rsidRPr="006D0538" w:rsidRDefault="00DE4DE6" w:rsidP="00DE4DE6">
      <w:pPr>
        <w:pStyle w:val="s6"/>
        <w:spacing w:before="0" w:beforeAutospacing="0" w:after="0" w:afterAutospacing="0" w:line="324" w:lineRule="atLeast"/>
        <w:rPr>
          <w:color w:val="000000" w:themeColor="text1"/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“</w:t>
      </w:r>
      <w:r w:rsidR="005E1BD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Una de las conclusiones claras de la cumbre bilateral celebrada en 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Washington D</w:t>
      </w:r>
      <w:r w:rsidR="00B46B25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. 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C</w:t>
      </w:r>
      <w:r w:rsidR="00B46B25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.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 </w:t>
      </w:r>
      <w:r w:rsidR="005E1BD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es el reconocimiento de que éste es un momento único que resulta sumamente prometedor para ambos países”, expresó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 Jeffrey W. Martin, </w:t>
      </w:r>
      <w:r w:rsidR="005E1BD5" w:rsidRPr="006D0538">
        <w:rPr>
          <w:rFonts w:ascii="Arial" w:hAnsi="Arial" w:cs="Arial"/>
          <w:color w:val="000000" w:themeColor="text1"/>
          <w:sz w:val="27"/>
          <w:szCs w:val="27"/>
          <w:lang w:val="es-ES"/>
        </w:rPr>
        <w:t>presidente del Consejo de Administración y director general ejecutivo (CEO) de Sempra Energy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. “</w:t>
      </w:r>
      <w:r w:rsidR="005E1BD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La aprobación del T-MEC fue un paso ambicioso y resalta la importancia de proyectos transfronterizos como 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ECA </w:t>
      </w:r>
      <w:r w:rsidR="00E1502E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dado </w:t>
      </w:r>
      <w:r w:rsidR="005E1BD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a la escala </w:t>
      </w:r>
      <w:r w:rsidR="00B46B2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del proyecto </w:t>
      </w:r>
      <w:r w:rsidR="005E1BD5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y los considerables beneficios para los dos países</w:t>
      </w:r>
      <w:r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.”</w:t>
      </w:r>
    </w:p>
    <w:p w14:paraId="2B6DD4CD" w14:textId="77777777" w:rsidR="00DE4DE6" w:rsidRPr="006D0538" w:rsidRDefault="00DE4DE6" w:rsidP="00DE4DE6">
      <w:pPr>
        <w:pStyle w:val="s6"/>
        <w:spacing w:before="0" w:beforeAutospacing="0" w:after="0" w:afterAutospacing="0" w:line="324" w:lineRule="atLeast"/>
        <w:rPr>
          <w:color w:val="000000" w:themeColor="text1"/>
          <w:sz w:val="27"/>
          <w:szCs w:val="27"/>
          <w:lang w:val="es-ES"/>
        </w:rPr>
      </w:pPr>
    </w:p>
    <w:p w14:paraId="2F8981DC" w14:textId="315E3B13" w:rsidR="00DE4DE6" w:rsidRPr="006D0538" w:rsidRDefault="005E1BD5" w:rsidP="00DE4DE6">
      <w:pPr>
        <w:pStyle w:val="s6"/>
        <w:spacing w:before="0" w:beforeAutospacing="0" w:after="0" w:afterAutospacing="0" w:line="324" w:lineRule="atLeast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La fase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1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del proyecto ECA de dos fases está list</w:t>
      </w:r>
      <w:r w:rsidR="00DA46DB">
        <w:rPr>
          <w:rStyle w:val="bumpedfont15"/>
          <w:rFonts w:ascii="Arial" w:hAnsi="Arial" w:cs="Arial"/>
          <w:sz w:val="27"/>
          <w:szCs w:val="27"/>
          <w:lang w:val="es-ES"/>
        </w:rPr>
        <w:t>a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para iniciarse, con contratos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de compraventa 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>con vigencia de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20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años 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 xml:space="preserve">celebrados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con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Mitsui &amp; Co. Ltd,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y una filial de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Total, S.A.</w:t>
      </w:r>
      <w:r w:rsidR="00B46B25">
        <w:rPr>
          <w:rStyle w:val="bumpedfont15"/>
          <w:rFonts w:ascii="Arial" w:hAnsi="Arial" w:cs="Arial"/>
          <w:sz w:val="27"/>
          <w:szCs w:val="27"/>
          <w:lang w:val="es-ES"/>
        </w:rPr>
        <w:t>,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y un contrato de ingeniería, adquisiciones y construcción con </w:t>
      </w:r>
      <w:proofErr w:type="spellStart"/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TechnipFMC</w:t>
      </w:r>
      <w:proofErr w:type="spellEnd"/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.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Esta primera fase contempla mover cerca de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400 millon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es de pies cúbicos de gas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natural </w:t>
      </w:r>
      <w:r w:rsidR="00577EC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al día a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Baja </w:t>
      </w:r>
      <w:r w:rsidR="00DE4DE6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California </w:t>
      </w:r>
      <w:r w:rsidR="00E1502E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buscando d</w:t>
      </w:r>
      <w:r w:rsidR="00577ECE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iversificar </w:t>
      </w:r>
      <w:r w:rsidR="00B46B25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los </w:t>
      </w:r>
      <w:r w:rsidR="00B7184B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recursos</w:t>
      </w:r>
      <w:r w:rsidR="00577ECE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 energétic</w:t>
      </w:r>
      <w:r w:rsidR="00B46B25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o</w:t>
      </w:r>
      <w:r w:rsidR="00577ECE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 xml:space="preserve">s de la región, reducir el precio de la </w:t>
      </w:r>
      <w:r w:rsidR="00577ECE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lastRenderedPageBreak/>
        <w:t>energía e impulsar las exportaciones estraté</w:t>
      </w:r>
      <w:r w:rsid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g</w:t>
      </w:r>
      <w:r w:rsidR="00577ECE" w:rsidRPr="006D0538">
        <w:rPr>
          <w:rStyle w:val="bumpedfont15"/>
          <w:rFonts w:ascii="Arial" w:hAnsi="Arial" w:cs="Arial"/>
          <w:color w:val="000000" w:themeColor="text1"/>
          <w:sz w:val="27"/>
          <w:szCs w:val="27"/>
          <w:lang w:val="es-ES"/>
        </w:rPr>
        <w:t>icas hacia los mercados asiáticos en crecimiento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 </w:t>
      </w:r>
    </w:p>
    <w:p w14:paraId="4947900A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596DB589" w14:textId="2D57F604" w:rsidR="00DE4DE6" w:rsidRPr="006D0538" w:rsidRDefault="00DE4DE6" w:rsidP="00DE4DE6">
      <w:pPr>
        <w:pStyle w:val="s6"/>
        <w:spacing w:before="0" w:beforeAutospacing="0" w:after="0" w:afterAutospacing="0" w:line="324" w:lineRule="atLeast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Sempra Energy 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se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ha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asociado con comunidades en México a lo largo de más de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20 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>años para ayudar a mejorar su</w:t>
      </w:r>
      <w:r w:rsidR="00B7184B">
        <w:rPr>
          <w:rStyle w:val="bumpedfont15"/>
          <w:rFonts w:ascii="Arial" w:hAnsi="Arial" w:cs="Arial"/>
          <w:sz w:val="27"/>
          <w:szCs w:val="27"/>
          <w:lang w:val="es-ES"/>
        </w:rPr>
        <w:t xml:space="preserve"> calidad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de vida, </w:t>
      </w:r>
      <w:r w:rsidR="00B7184B">
        <w:rPr>
          <w:rStyle w:val="bumpedfont15"/>
          <w:rFonts w:ascii="Arial" w:hAnsi="Arial" w:cs="Arial"/>
          <w:sz w:val="27"/>
          <w:szCs w:val="27"/>
          <w:lang w:val="es-ES"/>
        </w:rPr>
        <w:t>mediante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la creación de empleos, el acceso a recursos energéticos más limpios y de menor costo, e iniciativas orientadas a mejorar la salud, el medio ambiente y la seguridad económica de México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. </w:t>
      </w:r>
      <w:r w:rsidR="0022333D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IEnova, subsidiaria de Sempra, es una de las compañías de infraestructura más grandes de México y cotiza en la Bolsa Mexicana de Valores. Los activos </w:t>
      </w:r>
      <w:r w:rsidR="002063F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de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IEnova</w:t>
      </w:r>
      <w:r w:rsidR="002063FE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s</w:t>
      </w:r>
      <w:r w:rsidR="002063FE" w:rsidRPr="006D0538">
        <w:rPr>
          <w:rStyle w:val="bumpedfont15"/>
          <w:rFonts w:ascii="Arial" w:hAnsi="Arial" w:cs="Arial"/>
          <w:sz w:val="27"/>
          <w:szCs w:val="27"/>
          <w:lang w:val="es-ES"/>
        </w:rPr>
        <w:t>irven a familias y empresas de todo México, con miras a mejorar la seguridad energética y económica del país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.</w:t>
      </w:r>
    </w:p>
    <w:p w14:paraId="60DA23CE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2B9C8A47" w14:textId="542CB153" w:rsidR="00DE4DE6" w:rsidRPr="006D0538" w:rsidRDefault="002063FE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Con el T-MEC ahora plenamente en vigor, la expedición del permiso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SENER 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por parte de la Secretaría de Energía de México es un siguiente paso crucial para suministrar </w:t>
      </w:r>
      <w:r w:rsidR="00B7184B">
        <w:rPr>
          <w:rStyle w:val="bumpedfont15"/>
          <w:rFonts w:ascii="Arial" w:hAnsi="Arial" w:cs="Arial"/>
          <w:sz w:val="27"/>
          <w:szCs w:val="27"/>
          <w:lang w:val="es-ES"/>
        </w:rPr>
        <w:t>recursos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 adicionales de gas natural a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Baja California 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y lanzar la creación del próximo centro energético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global, </w:t>
      </w:r>
      <w:r w:rsidR="006D053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llevando abundante gas natural norteamericano de bajo costo por todo el sistema de gasoductos del oeste de Estados Unidos en apoyo de la creación de empleos y la expansión económica en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Baja California, as</w:t>
      </w:r>
      <w:r w:rsidR="006D0538" w:rsidRPr="006D0538">
        <w:rPr>
          <w:rStyle w:val="bumpedfont15"/>
          <w:rFonts w:ascii="Arial" w:hAnsi="Arial" w:cs="Arial"/>
          <w:sz w:val="27"/>
          <w:szCs w:val="27"/>
          <w:lang w:val="es-ES"/>
        </w:rPr>
        <w:t xml:space="preserve">í como del creciente comercio de energía con 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Asia.</w:t>
      </w:r>
    </w:p>
    <w:p w14:paraId="2F71839C" w14:textId="77777777" w:rsidR="00DE4DE6" w:rsidRPr="006D0538" w:rsidRDefault="00DE4DE6" w:rsidP="00DE4DE6">
      <w:pPr>
        <w:pStyle w:val="s3"/>
        <w:spacing w:before="0" w:beforeAutospacing="0" w:after="0" w:afterAutospacing="0"/>
        <w:rPr>
          <w:sz w:val="27"/>
          <w:szCs w:val="27"/>
          <w:lang w:val="es-ES"/>
        </w:rPr>
      </w:pPr>
      <w:r w:rsidRPr="006D0538">
        <w:rPr>
          <w:sz w:val="27"/>
          <w:szCs w:val="27"/>
          <w:lang w:val="es-ES"/>
        </w:rPr>
        <w:t> </w:t>
      </w:r>
    </w:p>
    <w:p w14:paraId="30D2CBE4" w14:textId="360CD57B" w:rsidR="00DE4DE6" w:rsidRDefault="006D0538" w:rsidP="00DE4DE6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  <w:lang w:val="es-ES"/>
        </w:rPr>
      </w:pP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Obtenga más información acerca de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 </w:t>
      </w:r>
      <w:hyperlink r:id="rId7" w:history="1">
        <w:proofErr w:type="spellStart"/>
        <w:r w:rsidR="00DE4DE6" w:rsidRPr="006D0538">
          <w:rPr>
            <w:rStyle w:val="bumpedfont15"/>
            <w:rFonts w:ascii="Arial" w:hAnsi="Arial" w:cs="Arial"/>
            <w:color w:val="0000FF"/>
            <w:sz w:val="27"/>
            <w:szCs w:val="27"/>
            <w:u w:val="single"/>
            <w:lang w:val="es-ES"/>
          </w:rPr>
          <w:t>IEnova</w:t>
        </w:r>
        <w:proofErr w:type="spellEnd"/>
      </w:hyperlink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 </w:t>
      </w:r>
      <w:r w:rsidRPr="006D0538">
        <w:rPr>
          <w:rStyle w:val="bumpedfont15"/>
          <w:rFonts w:ascii="Arial" w:hAnsi="Arial" w:cs="Arial"/>
          <w:sz w:val="27"/>
          <w:szCs w:val="27"/>
          <w:lang w:val="es-ES"/>
        </w:rPr>
        <w:t>y</w:t>
      </w:r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 </w:t>
      </w:r>
      <w:hyperlink r:id="rId8" w:history="1">
        <w:r w:rsidR="00DE4DE6" w:rsidRPr="006D0538">
          <w:rPr>
            <w:rStyle w:val="bumpedfont15"/>
            <w:rFonts w:ascii="Arial" w:hAnsi="Arial" w:cs="Arial"/>
            <w:color w:val="0000FF"/>
            <w:sz w:val="27"/>
            <w:szCs w:val="27"/>
            <w:u w:val="single"/>
            <w:lang w:val="es-ES"/>
          </w:rPr>
          <w:t>Sempra LNG</w:t>
        </w:r>
      </w:hyperlink>
      <w:r w:rsidR="00DE4DE6" w:rsidRPr="006D0538">
        <w:rPr>
          <w:rStyle w:val="bumpedfont15"/>
          <w:rFonts w:ascii="Arial" w:hAnsi="Arial" w:cs="Arial"/>
          <w:sz w:val="27"/>
          <w:szCs w:val="27"/>
          <w:lang w:val="es-ES"/>
        </w:rPr>
        <w:t>.</w:t>
      </w:r>
    </w:p>
    <w:p w14:paraId="25669C43" w14:textId="6C85823D" w:rsidR="00806617" w:rsidRDefault="00806617" w:rsidP="00DE4DE6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  <w:lang w:val="es-ES"/>
        </w:rPr>
      </w:pPr>
    </w:p>
    <w:p w14:paraId="58E25E70" w14:textId="12450BC6" w:rsidR="00806617" w:rsidRPr="006D0538" w:rsidRDefault="00806617" w:rsidP="00806617">
      <w:pPr>
        <w:pStyle w:val="s3"/>
        <w:spacing w:before="0" w:beforeAutospacing="0" w:after="0" w:afterAutospacing="0"/>
        <w:jc w:val="center"/>
        <w:rPr>
          <w:sz w:val="27"/>
          <w:szCs w:val="27"/>
          <w:lang w:val="es-ES"/>
        </w:rPr>
      </w:pPr>
      <w:r>
        <w:rPr>
          <w:rStyle w:val="bumpedfont15"/>
          <w:rFonts w:ascii="Arial" w:hAnsi="Arial" w:cs="Arial"/>
          <w:sz w:val="27"/>
          <w:szCs w:val="27"/>
          <w:lang w:val="es-ES"/>
        </w:rPr>
        <w:t>###</w:t>
      </w:r>
    </w:p>
    <w:p w14:paraId="21E4C9F7" w14:textId="5A657BD3" w:rsidR="00F93790" w:rsidRDefault="00F93790">
      <w:pPr>
        <w:rPr>
          <w:lang w:val="es-ES"/>
        </w:rPr>
      </w:pPr>
    </w:p>
    <w:p w14:paraId="412BE092" w14:textId="77777777" w:rsidR="00806617" w:rsidRPr="001B6699" w:rsidRDefault="00806617" w:rsidP="00806617">
      <w:pPr>
        <w:pStyle w:val="xmsonormal"/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  <w:lang w:val="es-ES_tradnl"/>
        </w:rPr>
      </w:pP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El presente artículo contiene declaraciones que no son hechos históricos y constituyen declaraciones prospectivas en el sentido establecido en la Ley de Reforma de Litigios sobre Valores Privados de 1995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Private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Securities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Litigation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Reform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Act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of 1995). Las declaraciones prospectivas se basan en presupuestos respecto al futuro, implican riesgos e incertidumbres y no son garantías de desempeño. Los resultados futuros pueden diferir considerablemente de aquellos expresados en las declaraciones prospectivas. Las presentes declaraciones prospectivas representan nuestras estimaciones y presupuestos únicamente a la fecha de este a</w:t>
      </w:r>
      <w:bookmarkStart w:id="0" w:name="_GoBack"/>
      <w:bookmarkEnd w:id="0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rtículo. No asumimos ninguna obligación de actualizar ni revisar ninguna de estas declaraciones prospectivas, ya sea como resultado de información nueva, acontecimientos futuros u otros factores.</w:t>
      </w:r>
    </w:p>
    <w:p w14:paraId="4B53218C" w14:textId="77777777" w:rsidR="00806617" w:rsidRPr="001B6699" w:rsidRDefault="00806617" w:rsidP="00806617">
      <w:pPr>
        <w:pStyle w:val="xmsonormal"/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  <w:lang w:val="es-ES_tradnl"/>
        </w:rPr>
      </w:pP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En el presente artículo, las declaraciones prospectivas pueden identificarse con palabras como </w:t>
      </w:r>
      <w:r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“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cree", "espera", "anticipa", "planea", "estima", "proyecta", "pronostica", "debería", "podría", "haría", "hará́", "confía en", "tal vez", “puede que”, "potencial", "posible", "propuesto", "objetivo", "perseguir", "perspectivas", "afirmar" o expresiones similares o cuando discutimos nuestros pronósticos, estrategia, metas, visión, misión, oportunidades, proyecciones o intenciones.</w:t>
      </w:r>
    </w:p>
    <w:p w14:paraId="4F3AE6E7" w14:textId="77777777" w:rsidR="00806617" w:rsidRPr="001B6699" w:rsidRDefault="00806617" w:rsidP="00806617">
      <w:pPr>
        <w:pStyle w:val="xmsonormal"/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  <w:lang w:val="es-ES_tradnl"/>
        </w:rPr>
      </w:pP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Los factores, entre otros, que podrían ocasionar que nuestros resultados reales y acciones futuras difirieran considerablemente de los descritos en cualquiera de las declaraciones prospectivas incluyen riesgos e incertidumbres relacionados con: decisiones, investigaciones, reglamentaciones, emisiones de permisos y otras autorizaciones, y 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lastRenderedPageBreak/>
        <w:t>otras acciones por parte del Departamento de Energía de EE. UU., organismos reguladores y gubernamentales y jurisdicciones en los EE. UU., y otros países donde operamos; el éxito de los esfuerzos de fomento empresarial, proyectos de construcción y adquisiciones y desinversiones de gran envergadura, incluidos los riesgos en (i) la capacidad de tomar una decisión final de inversión y completar los proyectos de construcción a tiempo y dentro del presupuesto;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ii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) la obtención del consentimiento de socios;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iii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) la capacidad financiera o de otro tipo de las contrapartes para cumplir con sus compromisos contractuales;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iv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) la capacidad para completar las adquisiciones o las desinversiones contempladas, y (v) la capacidad para materializar los beneficios anticipados de cualesquiera de estas iniciativas una vez completadas; el impacto de la pandemia de la COVID-19 en nuestra (i) capacidad para iniciar y concluir proyectos de capital y de otra índole y obtener las aprobaciones reglamentarias,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ii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) cadena de suministro y contrapartes, contratistas, clientes, </w:t>
      </w:r>
      <w:r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colaboradores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y socios actuales y prospectivos,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iii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) liquidez, resultante de los desafíos para el pago de facturas que experimenten nuestros clientes, una menor estabilidad y accesibilidad a los mercados de capital y otros factores, y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iv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) capacidad para proseguir con operaciones y satisfacer requisitos de cumplimiento debido a las medidas de distanciamiento social o si el ausentismo de </w:t>
      </w:r>
      <w:r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los colaboradores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se incrementara considerablemente; la resolución de litigios civiles y penales, e investigaciones, procedimientos y arbitrajes en materia de regulación; acciones por parte de agencias calificadoras de crédito para bajar nuestras calificaciones crediticias o colocar esas calificaciones en una perspectiva negativa y reducir nuestra capacidad de incurrir en deudas a tasas de interés favorables; movimientos para reducir o eliminar la dependencia del gas natural y el impacto de la volatilidad extrema y el descenso sin precedentes de los precios del petróleo en nuestros negocios y </w:t>
      </w:r>
      <w:r w:rsidRPr="00C80B94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proyectos de desarrollo;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las condiciones meteorológicas, desastres naturales, accidentes, fallas en equipos, interrupciones en los sistemas de cómputo y otros eventos que interrumpan nuestras operaciones, dañen nuestras instalaciones y sistemas, ocasionen la liberación de materiales nocivos, provoquen incendios y nos sometan a responsabilidad civil ante terceros por daños a la propiedad o lesiones personales, multas y penalizaciones, algunas de las cuales podrían no estar cubiertas por seguros (incluidos costos por encima de los límites de pólizas aplicables), podrían ser objeto de controversia por las aseguradoras o podrían afectar nuestra capacidad para obtener niveles satisfactorios de seguro asequible; amenazas a la ciberseguridad de la infraestructura de almacenamiento y </w:t>
      </w:r>
      <w:r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gasoductos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, a la información y los sistemas utilizados para operar nuestros negocios, y a la confidencialidad de nuestra información de propiedad exclusiva y la información personal de nuestros clientes y colaboradores; la expropiación de activos y el incumplimiento por parte de gobiernos extranjeros y entidades de propiedad estatal de términos contractuales, y controversias por motivos de propiedad; la volatilidad en el tipo de cambio y las tasas de interés e inflación y los precios de los productos básicos, y nuestra capacidad para cubrir con efectividad el riesgo de dicha volatilidad; cambios en políticas, leyes y reglamentaciones comerciales, lo que incluye aranceles, y revisiones a o reemplazo de acuerdos comerciales internacionales, tales como el Tratado de Libre Comercio de América del Norte, que pudieran incrementar nuestros costos o afectar nuestra capacidad para resolver disputas comerciales; el impacto de cambios en las leyes fiscales federales y estatales y nuestra capacidad para mitigar impactos adversos, y otras incertidumbres, algunas de las cuales tal vez sean difíciles de predecir y estén fuera de nuestro control.</w:t>
      </w:r>
    </w:p>
    <w:p w14:paraId="21B90D1A" w14:textId="77777777" w:rsidR="00806617" w:rsidRPr="001B6699" w:rsidRDefault="00806617" w:rsidP="00806617">
      <w:pPr>
        <w:pStyle w:val="xmsonormal"/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  <w:lang w:val="es-ES_tradnl"/>
        </w:rPr>
      </w:pP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Estos riesgos e incertidumbres se analizan aún más en los informes que Sempra Energy ha presentado ante la U.S.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Securities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and Exchange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Commission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(SEC). Estos informes pueden consultarse, sin costo alguno, a través del sistema EDGAR, en el sitio web de la SEC, </w:t>
      </w:r>
      <w:hyperlink r:id="rId9" w:tgtFrame="_blank" w:tooltip="Protegido por Outlook: http://www.sec.gov/. Haz clic o pulsa para seguir el vínculo." w:history="1">
        <w:r w:rsidRPr="001B6699">
          <w:rPr>
            <w:rStyle w:val="Hyperlink"/>
            <w:rFonts w:ascii="Tahoma" w:hAnsi="Tahoma" w:cs="Tahoma"/>
            <w:i/>
            <w:iCs/>
            <w:sz w:val="18"/>
            <w:szCs w:val="18"/>
            <w:bdr w:val="none" w:sz="0" w:space="0" w:color="auto" w:frame="1"/>
            <w:lang w:val="es-ES_tradnl"/>
          </w:rPr>
          <w:t>www.sec.gov</w:t>
        </w:r>
      </w:hyperlink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,</w:t>
      </w:r>
      <w:r w:rsidRPr="001B6699">
        <w:rPr>
          <w:lang w:val="es-ES_tradnl"/>
        </w:rPr>
        <w:t xml:space="preserve"> 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y en el sitio web de la compañía en </w:t>
      </w:r>
      <w:hyperlink r:id="rId10" w:tgtFrame="_blank" w:tooltip="Protegido por Outlook: http://www.sempra.com/. Haz clic o pulsa para seguir el vínculo." w:history="1">
        <w:r w:rsidRPr="001B6699">
          <w:rPr>
            <w:rStyle w:val="Hyperlink"/>
            <w:rFonts w:ascii="Tahoma" w:hAnsi="Tahoma" w:cs="Tahoma"/>
            <w:i/>
            <w:iCs/>
            <w:sz w:val="18"/>
            <w:szCs w:val="18"/>
            <w:bdr w:val="none" w:sz="0" w:space="0" w:color="auto" w:frame="1"/>
            <w:lang w:val="es-ES_tradnl"/>
          </w:rPr>
          <w:t>www.sempra.com</w:t>
        </w:r>
      </w:hyperlink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. Los inversionistas no deberán depositar una confianza excesiva en ninguna declaración prospectiva.</w:t>
      </w:r>
    </w:p>
    <w:p w14:paraId="53386879" w14:textId="77777777" w:rsidR="00806617" w:rsidRPr="001B6699" w:rsidRDefault="00806617" w:rsidP="00806617">
      <w:pPr>
        <w:pStyle w:val="xmsonormal"/>
        <w:shd w:val="clear" w:color="auto" w:fill="FFFFFF"/>
        <w:spacing w:before="0" w:after="0" w:afterAutospacing="0" w:line="236" w:lineRule="atLeast"/>
        <w:rPr>
          <w:rFonts w:ascii="Segoe UI" w:hAnsi="Segoe UI" w:cs="Segoe UI"/>
          <w:color w:val="201F1E"/>
          <w:sz w:val="23"/>
          <w:szCs w:val="23"/>
          <w:lang w:val="es-ES_tradnl"/>
        </w:rPr>
      </w:pP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Sempra LNG, Cameron LNG, Port Arthur LNG y ECA LNG </w:t>
      </w:r>
      <w:r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n</w:t>
      </w:r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o son la misma compañía que San Diego Gas &amp; Electric (SDG&amp;E) o 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Southern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 xml:space="preserve"> California Gas Company (</w:t>
      </w:r>
      <w:proofErr w:type="spellStart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SoCalGas</w:t>
      </w:r>
      <w:proofErr w:type="spellEnd"/>
      <w:r w:rsidRPr="001B6699">
        <w:rPr>
          <w:rFonts w:ascii="Tahoma" w:hAnsi="Tahoma" w:cs="Tahoma"/>
          <w:i/>
          <w:iCs/>
          <w:color w:val="201F1E"/>
          <w:sz w:val="18"/>
          <w:szCs w:val="18"/>
          <w:bdr w:val="none" w:sz="0" w:space="0" w:color="auto" w:frame="1"/>
          <w:lang w:val="es-ES_tradnl"/>
        </w:rPr>
        <w:t>), y Sempra LNG, Cameron LNG, Port Arthur LNG y ECA LNG no están reguladas por la Comisión de Servicios Públicos de California.</w:t>
      </w:r>
    </w:p>
    <w:p w14:paraId="024C38CE" w14:textId="77777777" w:rsidR="00806617" w:rsidRPr="00806617" w:rsidRDefault="00806617">
      <w:pPr>
        <w:rPr>
          <w:lang w:val="es-ES_tradnl"/>
        </w:rPr>
      </w:pPr>
    </w:p>
    <w:sectPr w:rsidR="00806617" w:rsidRPr="00806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6"/>
    <w:rsid w:val="000215A0"/>
    <w:rsid w:val="000B458B"/>
    <w:rsid w:val="00172955"/>
    <w:rsid w:val="001C0918"/>
    <w:rsid w:val="002063FE"/>
    <w:rsid w:val="00213B50"/>
    <w:rsid w:val="0022333D"/>
    <w:rsid w:val="002467A6"/>
    <w:rsid w:val="002527D7"/>
    <w:rsid w:val="00286373"/>
    <w:rsid w:val="002878E0"/>
    <w:rsid w:val="00337DF5"/>
    <w:rsid w:val="00361899"/>
    <w:rsid w:val="00577ECE"/>
    <w:rsid w:val="005E1BD5"/>
    <w:rsid w:val="005F6C21"/>
    <w:rsid w:val="006D0538"/>
    <w:rsid w:val="00806617"/>
    <w:rsid w:val="00A37563"/>
    <w:rsid w:val="00A61AFB"/>
    <w:rsid w:val="00B132A3"/>
    <w:rsid w:val="00B46B25"/>
    <w:rsid w:val="00B7184B"/>
    <w:rsid w:val="00C134C3"/>
    <w:rsid w:val="00CF5FBB"/>
    <w:rsid w:val="00D32EEC"/>
    <w:rsid w:val="00D355D2"/>
    <w:rsid w:val="00D53B9B"/>
    <w:rsid w:val="00D7212B"/>
    <w:rsid w:val="00DA46DB"/>
    <w:rsid w:val="00DB6113"/>
    <w:rsid w:val="00DE4DE6"/>
    <w:rsid w:val="00E1502E"/>
    <w:rsid w:val="00F010F8"/>
    <w:rsid w:val="00F704FF"/>
    <w:rsid w:val="00F9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A94F"/>
  <w15:docId w15:val="{00A32E4C-100B-E447-AA06-905641F3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4D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DE4DE6"/>
    <w:pPr>
      <w:spacing w:before="100" w:beforeAutospacing="1" w:after="100" w:afterAutospacing="1"/>
    </w:pPr>
  </w:style>
  <w:style w:type="paragraph" w:customStyle="1" w:styleId="s6">
    <w:name w:val="s6"/>
    <w:basedOn w:val="Normal"/>
    <w:rsid w:val="00DE4DE6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DE4DE6"/>
  </w:style>
  <w:style w:type="paragraph" w:styleId="BalloonText">
    <w:name w:val="Balloon Text"/>
    <w:basedOn w:val="Normal"/>
    <w:link w:val="BalloonTextChar"/>
    <w:uiPriority w:val="99"/>
    <w:semiHidden/>
    <w:unhideWhenUsed/>
    <w:rsid w:val="001C0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91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806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yperlink">
    <w:name w:val="Hyperlink"/>
    <w:basedOn w:val="DefaultParagraphFont"/>
    <w:uiPriority w:val="99"/>
    <w:semiHidden/>
    <w:unhideWhenUsed/>
    <w:rsid w:val="00806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pralng.com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ienova.com.mx/?l=en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nam12.safelinks.protection.outlook.com/?url=http%3A%2F%2Fwww.sempra.com%2F&amp;data=02%7C01%7C%7C8951c7eddc1b4bfcfced08d824f521b8%7C84df9e7fe9f640afb435aaaaaaaaaaaa%7C1%7C0%7C637299982527018253&amp;sdata=FV7olqAELxRD7qhD8Yk8N4Pt0%2BA%2BNw5Vf2qMnnNA3dY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%3A%2F%2Fwww.sec.gov%2F&amp;data=02%7C01%7C%7C8951c7eddc1b4bfcfced08d824f521b8%7C84df9e7fe9f640afb435aaaaaaaaaaaa%7C1%7C0%7C637299982527008251&amp;sdata=%2B%2BCvgrHBUQ%2Bc25feg4dkgsx8uCOhgmANuuY0vSfXde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8E476D52AA0D469672DECFA5B4937B" ma:contentTypeVersion="13" ma:contentTypeDescription="Create a new document." ma:contentTypeScope="" ma:versionID="3b4700cd4de682238cf82c57dec2814e">
  <xsd:schema xmlns:xsd="http://www.w3.org/2001/XMLSchema" xmlns:xs="http://www.w3.org/2001/XMLSchema" xmlns:p="http://schemas.microsoft.com/office/2006/metadata/properties" xmlns:ns3="783f3f32-ccf6-43e6-b43b-7d184f70e0b2" xmlns:ns4="be1cb41f-6419-42b7-85f5-6df56ccecf75" targetNamespace="http://schemas.microsoft.com/office/2006/metadata/properties" ma:root="true" ma:fieldsID="66a28374b3f8c6bee747ca7b147c61da" ns3:_="" ns4:_="">
    <xsd:import namespace="783f3f32-ccf6-43e6-b43b-7d184f70e0b2"/>
    <xsd:import namespace="be1cb41f-6419-42b7-85f5-6df56ccecf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f3f32-ccf6-43e6-b43b-7d184f70e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cb41f-6419-42b7-85f5-6df56ccec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645BA1-B9B6-4B00-BE51-8C467EFF7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f3f32-ccf6-43e6-b43b-7d184f70e0b2"/>
    <ds:schemaRef ds:uri="be1cb41f-6419-42b7-85f5-6df56ccec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F5DBD-7425-4A9B-9BBC-A64CE4A76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66E3A-84C3-468D-AC93-E007E25BB28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e1cb41f-6419-42b7-85f5-6df56ccecf75"/>
    <ds:schemaRef ds:uri="783f3f32-ccf6-43e6-b43b-7d184f70e0b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Lisa</dc:creator>
  <cp:keywords/>
  <dc:description/>
  <cp:lastModifiedBy>Ortega Mitchell, Paty</cp:lastModifiedBy>
  <cp:revision>3</cp:revision>
  <cp:lastPrinted>2020-07-10T02:59:00Z</cp:lastPrinted>
  <dcterms:created xsi:type="dcterms:W3CDTF">2020-07-10T15:31:00Z</dcterms:created>
  <dcterms:modified xsi:type="dcterms:W3CDTF">2020-07-10T19:48:00Z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0x010100898E476D52AA0D469672DECFA5B4937B</vt:lpwstr>
  </property>
</Properties>
</file>